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1"/>
        <w:rPr>
          <w:sz w:val="26"/>
          <w:szCs w:val="26"/>
        </w:rPr>
      </w:pPr>
      <w:r>
        <w:rPr>
          <w:sz w:val="26"/>
          <w:szCs w:val="26"/>
        </w:rPr>
        <w:t>ДОГОВОР ПОСТАВКИ № ___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00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6"/>
        <w:gridCol w:w="5007"/>
      </w:tblGrid>
      <w:tr>
        <w:trPr/>
        <w:tc>
          <w:tcPr>
            <w:tcW w:w="5016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 ____________________</w:t>
            </w:r>
          </w:p>
        </w:tc>
        <w:tc>
          <w:tcPr>
            <w:tcW w:w="5007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sz w:val="26"/>
                <w:szCs w:val="26"/>
              </w:rPr>
              <w:t>«__»  _________   202_ г.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/>
      </w:pPr>
      <w:r>
        <w:rPr>
          <w:b/>
          <w:bCs/>
          <w:szCs w:val="24"/>
        </w:rPr>
        <w:t>Общество с ограниченной ответственностью «Континенталь»</w:t>
      </w:r>
      <w:r>
        <w:rPr>
          <w:szCs w:val="24"/>
        </w:rPr>
        <w:t xml:space="preserve">, именуемое в дальнейшем </w:t>
      </w:r>
      <w:r>
        <w:rPr>
          <w:b/>
          <w:bCs/>
          <w:szCs w:val="24"/>
        </w:rPr>
        <w:t>«Поставщик»</w:t>
      </w:r>
      <w:r>
        <w:rPr>
          <w:szCs w:val="24"/>
        </w:rPr>
        <w:t>, в лице ___________________________________, действующего на основании _________________________________________________, с одной стороны, и</w:t>
      </w:r>
    </w:p>
    <w:p>
      <w:pPr>
        <w:pStyle w:val="Normal"/>
        <w:ind w:firstLine="567"/>
        <w:rPr/>
      </w:pPr>
      <w:r>
        <w:rPr>
          <w:b/>
          <w:bCs/>
          <w:szCs w:val="24"/>
        </w:rPr>
        <w:t>_______________________,</w:t>
      </w:r>
      <w:r>
        <w:rPr>
          <w:szCs w:val="24"/>
        </w:rPr>
        <w:t xml:space="preserve"> именуемое в дальнейшем </w:t>
      </w:r>
      <w:r>
        <w:rPr>
          <w:b/>
          <w:bCs/>
          <w:szCs w:val="24"/>
        </w:rPr>
        <w:t>«Покупатель»</w:t>
      </w:r>
      <w:r>
        <w:rPr>
          <w:szCs w:val="24"/>
        </w:rPr>
        <w:t>, в лице _______________________, действующего на основании ________________________, с другой стороны, совместно именуемые «Стороны», заключили настоящий Договор о нижеследующем: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ПРЕДМЕТ ДОГОВОРА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1.1. Поставщик обязуется поставить, а Покупатель обязуется принять и оплатить металлопродукцию на условиях, предусмотренных настоящим Договором.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1.2.  Сортамент, количество, цена и иные характеристики поставляемой металлопродукции, а также сроки поставки и вид транспорта, которым осуществляется поставка металлопродукции, оговариваются Сторонами по каждой партии и оформляются в виде спецификаций, являющихся неотъемлемой частью настоящего Договора.</w:t>
      </w:r>
    </w:p>
    <w:p>
      <w:pPr>
        <w:pStyle w:val="Normal"/>
        <w:ind w:firstLine="567"/>
        <w:rPr>
          <w:szCs w:val="24"/>
          <w:shd w:fill="FFFF00" w:val="clear"/>
        </w:rPr>
      </w:pPr>
      <w:r>
        <w:rPr>
          <w:szCs w:val="24"/>
        </w:rPr>
        <w:t>1.3. При поставках металлопродукции допускается отклонение (толеранс) от согласованного количества в пределах +/-10 (десять) % по позиции спецификации и +/-10 (десять) % по спецификации в целом. Стороны вправе согласовать иной толеранс в спецификации(ях) к настоящему Договору.</w:t>
      </w:r>
    </w:p>
    <w:p>
      <w:pPr>
        <w:pStyle w:val="Normal"/>
        <w:ind w:firstLine="567"/>
        <w:rPr/>
      </w:pPr>
      <w:r>
        <w:rPr>
          <w:szCs w:val="24"/>
        </w:rPr>
        <w:t>1.4. По согласованию Сторон допускается поставка металлопродукции на основании выставленных Поставщиком счетов на предварительную оплату и универсальных передаточных документов (либо счетов-фактур и товарных накладных по форме ТОРГ-12) на отправленную металлопродукцию без составления спецификаций.</w:t>
      </w:r>
    </w:p>
    <w:p>
      <w:pPr>
        <w:pStyle w:val="Normal"/>
        <w:ind w:firstLine="567"/>
        <w:rPr/>
      </w:pPr>
      <w:r>
        <w:rPr>
          <w:szCs w:val="24"/>
        </w:rPr>
        <w:t>1.5. В отношении поставляемой металлопродукции Поставщиком по согласованию с Покупателем могут осуществляться услуги по порезке. В этом случае объем и стоимость оказанных услуг по порезке указываются в универсальных передаточных документах (либо счетах-фактурах и актах).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1.6. Поставка металлопродукции в соответствии с настоящим Договором осуществляется в течение срока его действия.</w:t>
      </w:r>
    </w:p>
    <w:p>
      <w:pPr>
        <w:pStyle w:val="Normal"/>
        <w:ind w:firstLine="567"/>
        <w:rPr/>
      </w:pPr>
      <w:r>
        <w:rPr>
          <w:szCs w:val="24"/>
        </w:rPr>
        <w:t>1.7. Стороны подтверждают, что поставляемая металлопродукция не является оборонной продукцией и не будет использована Покупателем для выполнения государственного оборонного заказа (ГОЗ).</w:t>
      </w:r>
    </w:p>
    <w:p>
      <w:pPr>
        <w:pStyle w:val="Normal"/>
        <w:ind w:firstLine="567"/>
        <w:rPr/>
      </w:pPr>
      <w:r>
        <w:rPr>
          <w:szCs w:val="24"/>
        </w:rPr>
        <w:t>1.8. Данный договор не может применяться для поставок продукции в рамках выполнения ГОЗ, поскольку не соответствует специальным требованиям Федерального закона РФ № 275-ФЗ «О государственном оборонном заказе». В случае необходимости у Покупателя в поставках продукции Поставщика для выполнения ГОЗ, Стороны в соответствии с положениями законодательства РФ заключают отдельный контракт/договор на поставку металлопродукции по выполнению ГОЗ (по принятой у Поставщика форме).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ЦЕНА И ПОРЯДОК РАСЧЕТОВ</w:t>
      </w:r>
    </w:p>
    <w:p>
      <w:pPr>
        <w:pStyle w:val="Normal"/>
        <w:ind w:firstLine="567"/>
        <w:rPr>
          <w:color w:val="FF0000"/>
          <w:szCs w:val="24"/>
        </w:rPr>
      </w:pPr>
      <w:r>
        <w:rPr>
          <w:szCs w:val="24"/>
        </w:rPr>
        <w:t xml:space="preserve">2.1. Цена за единицу металлопродукции устанавливается в российских рублях с учетом НДС, если иная валюта не согласована Сторонами в спецификации. </w:t>
      </w:r>
      <w:r>
        <w:rPr>
          <w:color w:val="FF0000"/>
          <w:szCs w:val="24"/>
        </w:rPr>
        <w:t>При увеличении ставки НДС в соответствии с положениями действующего налогового законодательства на дату отгрузки/предоставления металлопродукции в адрес Покупателя/Грузополучателя, ранее определенная цена металлопродукции изменится в части расчетной суммы НДС по новой ставке к цене металлопродукции, при этом согласованная стоимость за единицу металлопродукции остается неизменной.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 xml:space="preserve">2.2. Если иное не предусмотрено в спецификации, оплата за поставку металлопродукции осуществляется Покупателем на основании выставленного ему авансового счета путем перечисления денежных средств с расчетного счета Покупателя на расчетный счет Поставщика в течение 3 (трех) рабочих дней с момента предъявления счета, при этом в платежных документах обязательно указываются номер и дата счета. 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 xml:space="preserve">2.2.1. Стороны подтверждают, что при оплате металлопродукции не с расчетного счета Покупателя, а с отдельного счета Покупателя, открытого в уполномоченном банке, либо с расчетного счета Покупателя с указанием идентификатора государственного контракта (ИГК) в платежном поручении Поставщик вправе вернуть денежные средства Покупателю и потребовать произвести оплату с расчетного счета Покупателя без указания ИГК, при этом к Поставщику не применяются какие-либо санкции и штрафы, в том числе начисление процентов за пользование денежными средствами. </w:t>
      </w:r>
    </w:p>
    <w:p>
      <w:pPr>
        <w:pStyle w:val="Normal"/>
        <w:ind w:firstLine="567"/>
        <w:rPr/>
      </w:pPr>
      <w:r>
        <w:rPr>
          <w:szCs w:val="24"/>
        </w:rPr>
        <w:t>2.3. В случае отгрузки металлопродукции Покупателю сверх объема, указанного в спецификации, в связи с оговоренными в пункте 1.3 настоящего Договора положениями о толерансе, отгруженная сверх объема металлопродукция оплачивается Покупателем по ценам, согласованным сторонами в Спецификации на данную партию товара, в срок не позднее 5 (пяти) рабочих дней с момента поставки, если иное не оговорено в Спецификации</w:t>
      </w:r>
    </w:p>
    <w:p>
      <w:pPr>
        <w:pStyle w:val="Normal"/>
        <w:ind w:firstLine="567"/>
        <w:rPr/>
      </w:pPr>
      <w:r>
        <w:rPr>
          <w:szCs w:val="24"/>
        </w:rPr>
        <w:t>В случае отгрузки металлопродукции Покупателю менее объема, указанного в спецификации, в связи с оговоренными в пункте 1.3 настоящего Договора положениями о толерансе, сумма образовавшейся переплаты на основании соответствующего письма Покупателя  подлежит возврату Поставщиком путем перечисления денежных средств на расчетный счет Покупателя в срок не позднее 5 (пяти) рабочих дней с момента получения Поставщиком такого письма; в случае не поступления от Покупателя письма с требованием о возврате сумма переплаты подлежит зачету в счет последующей поставки металлопродукции в адрес Покупателя, при этом проценты за пользование денежными средствами не начисляются.</w:t>
      </w:r>
    </w:p>
    <w:p>
      <w:pPr>
        <w:pStyle w:val="Normal"/>
        <w:ind w:firstLine="567"/>
        <w:rPr/>
      </w:pPr>
      <w:r>
        <w:rPr>
          <w:szCs w:val="24"/>
        </w:rPr>
        <w:t>2.4. Заказанная металлопродукция резервируется Поставщиком на 3 (три) рабочих дня для проведения Покупателем оплаты выставленного счета. В случае задержки оплаты более 3 (трех) рабочих дней Покупатель должен согласовать с Поставщиком наличие на складе заказанной металлопродукции и ее цену.</w:t>
      </w:r>
    </w:p>
    <w:p>
      <w:pPr>
        <w:pStyle w:val="Normal"/>
        <w:ind w:firstLine="567"/>
        <w:rPr/>
      </w:pPr>
      <w:r>
        <w:rPr>
          <w:szCs w:val="24"/>
        </w:rPr>
        <w:t>2.5. В случае применения иных форм оплаты (аккредитив и др.) Стороны оговаривают условия поставки, оплаты, ответственность в спецификации либо в дополнительном соглашении, подписываемом и скрепляемом печатями.</w:t>
      </w:r>
    </w:p>
    <w:p>
      <w:pPr>
        <w:pStyle w:val="Normal"/>
        <w:ind w:firstLine="567"/>
        <w:rPr/>
      </w:pPr>
      <w:r>
        <w:rPr>
          <w:szCs w:val="24"/>
        </w:rPr>
        <w:t>2.6. Покупатель считается выполнившим свои обязательства по оплате металлопродукции с момента зачисления перечисленных денежных средств на расчетный счет Поставщика.</w:t>
      </w:r>
    </w:p>
    <w:p>
      <w:pPr>
        <w:pStyle w:val="Normal"/>
        <w:ind w:firstLine="567"/>
        <w:rPr/>
      </w:pPr>
      <w:r>
        <w:rPr>
          <w:szCs w:val="24"/>
        </w:rPr>
        <w:t>2.7. Поставщик засчитывает полученные платежи за металлопродукцию по настоящему Договору в качестве оплаты отгруженной продукции в порядке календарной очередности оформляемых счетов-фактур/универсальных передаточных документов/. При получении аванса Поставщик обязан выставить авансовый счет-фактуру в адрес Покупателя.</w:t>
      </w:r>
    </w:p>
    <w:p>
      <w:pPr>
        <w:pStyle w:val="Normal"/>
        <w:ind w:firstLine="567"/>
        <w:rPr/>
      </w:pPr>
      <w:r>
        <w:rPr>
          <w:szCs w:val="24"/>
        </w:rPr>
        <w:t>2.8. 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ст.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условиях, предусмотренных ст. 317.1 Гражданского кодекса Российской Федерации.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УСЛОВИЯ ПОСТАВКИ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3.1. Поставка может осуществляться, по согласованию Сторон, одним из следующих способов: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самовывозом со склада Поставщика;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Поставщик организует доставку металлопродукции с привлечением транспортной организации, либо собственным автотранспортом;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ж/д вагоном, контейнером (3, 5, 20 тонн) – в этом случае Покупатель предварительно сообщает свои отгрузочные реквизиты. При этом Покупатель несет ответственность за достоверность отгрузочных реквизитов, а также расходы, связанные с отказом станции назначения принять поставленную по настоящему Договору металлопродукцию или её переадресовкой.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В случае организации доставки металлопродукции автомобильным или железнодорожным транспортом Поставщик по согласованию с Покупателем использует один из нижеприведенных способов: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расходы Поставщика на доставку продукции включаются в цену металлопродукции;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Поставщик выступает в качестве посредника между транспортной организацией и Покупателем по организации перевозки металлопродукции с привлечением сторонней организации перевозчика. В этом случае вознаграждение Поставщика за посреднические услуги входит в цену товара, а Покупатель возмещает Поставщику все расходы по организации перевозки.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Аналогичным образом возмещаются расходы Поставщика по страхованию перевозимой металлопродукции в случае принятия Сторонами согласованного решения о необходимости такового страхования.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3.2. Поставщик считается выполнившим свои обязательства по поставке: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в случае самовывоза Покупателем – с момента передачи металлопродукции уполномоченному представителю Покупателя на складе Поставщика;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в случае доставки транспортом Поставщика – с момента передачи металлопродукции уполномоченному представителю Покупателя на складе Покупателя;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- в случае организации Поставщиком поставки с привлечением транспортной организации или железнодорожным транспортом – с момента передачи металлопродукции перевозчику, что подтверждает дата отгрузки, указанная на штемпеле станции отправления на железнодорожных накладных или в транспортных накладных.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В этот же момент право собственности на металлопродукцию переходит от Поставщика к Покупателю.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3.3. Отгрузка металлопродукции автотранспортом осуществляется со склада Поставщика на следующий рабочий день, ж/д контейнером – в течение 3 (трех) рабочих дней, ж/д вагоном – в течение 5 (пяти) рабочих дней после поступления денежных средств на расчетный счет Поставщика, если иной срок не согласован Сторонами в Спецификации.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3.4. Погрузка металлопродукции в транспортное средство на складе Поставщика осуществляется силами и за счет Поставщика/Грузоотправителя, если иное не согласовано Сторонами в Спецификации. Разгрузка металлопродукции из транспортного средства в месте назначения осуществляется силами и за счет Покупателя/Грузополучателя.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3.5. В случае самовывоза Покупатель обязан вывезти приобретаемую металлопродукцию в срок не позднее 10 (десяти) рабочих дней с указанной в Спецификации даты поставки либо с момента письменного уведомления Поставщиком о готовности металлопродукции к отгрузке. Если Покупатель не вывезет металлопродукцию в течение 10 (десяти) рабочих дней, то начиная с одиннадцатого рабочего дня Поставщик вправе взыскать с Покупателя неустойку в размере 0,1 (ноль целых одна десятая) % от стоимости не вывезенной металлопродукции за каждый календарный день просрочки самовывоза.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2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КАЧЕСТВО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4.1. Качество поставляемой по настоящему Договору металлопродукции должно соответствовать ГОСТам и техническим условиям на указанную металлопродукцию и подтверждаться оригиналом или заверенной Поставщиком копией сертификата качества.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2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ТАРА, УПАКОВКА И МАРКИРОВКА</w:t>
      </w:r>
    </w:p>
    <w:p>
      <w:pPr>
        <w:pStyle w:val="Normal"/>
        <w:ind w:firstLine="567"/>
        <w:rPr/>
      </w:pPr>
      <w:r>
        <w:rPr>
          <w:szCs w:val="24"/>
        </w:rPr>
        <w:t>5.1. Металлопродукция, поставляемая по настоящему Договору, отгружается Поставщиком в таре и упаковке с использованием средств пакетирования, соответствующих характеру поставляемой металлопродукции. При этом упаковка должна обеспечивать полную сохранность груза от всякого рода повреждений и порчи при его перевозке с учетом возможных перегрузок и длительного хранения.</w:t>
      </w:r>
    </w:p>
    <w:p>
      <w:pPr>
        <w:pStyle w:val="Normal"/>
        <w:ind w:firstLine="567"/>
        <w:rPr/>
      </w:pPr>
      <w:r>
        <w:rPr>
          <w:szCs w:val="24"/>
        </w:rPr>
        <w:t>5.2. В случае, если по своему характеру металлопродукция не требует затаривания и (или) упаковки и (или) применения средств пакетирования, Поставщик отгружает металлопродукцию без применения этих средств.</w:t>
      </w:r>
    </w:p>
    <w:p>
      <w:pPr>
        <w:pStyle w:val="Normal"/>
        <w:ind w:firstLine="567"/>
        <w:rPr/>
      </w:pPr>
      <w:r>
        <w:rPr>
          <w:szCs w:val="24"/>
        </w:rPr>
        <w:t>5.3. Металлопродукция, упаковка, тара должны содержать необходимую маркировку. Содержание, способ и место(а) нанесения маркировки могут быть заранее согласованы Сторонами.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ПРИЕМКА МЕТАЛЛОПРОДУКЦИИ</w:t>
      </w:r>
    </w:p>
    <w:p>
      <w:pPr>
        <w:pStyle w:val="Normal"/>
        <w:ind w:firstLine="567"/>
        <w:rPr/>
      </w:pPr>
      <w:r>
        <w:rPr>
          <w:szCs w:val="24"/>
        </w:rPr>
        <w:t>6.1. Покупатель обязан совершить все необходимые действия, обеспечивающие принятие металлопродукции, поставленной в соответствии с настоящим Договором.</w:t>
      </w:r>
    </w:p>
    <w:p>
      <w:pPr>
        <w:pStyle w:val="Normal"/>
        <w:ind w:firstLine="567"/>
        <w:rPr/>
      </w:pPr>
      <w:r>
        <w:rPr>
          <w:szCs w:val="24"/>
        </w:rPr>
        <w:t>6.2. Приемка поставленной металлопродукции производится Покупателем в соответствии с Инструкциями Госарбитража при СМ СССР № П-6 от 15.06.1965 г. – по количеству и № П-7 от 25.04.1966 г. – по качеству.</w:t>
      </w:r>
    </w:p>
    <w:p>
      <w:pPr>
        <w:pStyle w:val="Normal"/>
        <w:ind w:firstLine="567"/>
        <w:rPr/>
      </w:pPr>
      <w:r>
        <w:rPr>
          <w:szCs w:val="24"/>
        </w:rPr>
        <w:t>6.3. Претензии Покупателя по качеству (явные недостатки) и количеству поставленной металлопродукции принимаются в течение 20 (двадцати) календарных дней со дня получения Покупателем металлопродукции в порядке, установленном законодательством РФ.</w:t>
      </w:r>
    </w:p>
    <w:p>
      <w:pPr>
        <w:pStyle w:val="Normal"/>
        <w:ind w:firstLine="567"/>
        <w:rPr/>
      </w:pPr>
      <w:r>
        <w:rPr>
          <w:szCs w:val="24"/>
        </w:rPr>
        <w:t>6.4. Претензии Покупателя по скрытым недостаткам металлопродукции могут быть предъявлены Поставщику в течение 120 (ста двадцати) календарных дней со дня передачи металлопродукции Покупателю в порядке, установленном законодательством РФ.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ОТВЕТСТВЕННОСТЬ СТОРОН И ФОРС-МАЖОР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7.1.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pStyle w:val="Normal"/>
        <w:ind w:firstLine="567"/>
        <w:rPr/>
      </w:pPr>
      <w:r>
        <w:rPr>
          <w:szCs w:val="24"/>
        </w:rPr>
        <w:t xml:space="preserve">7.2. </w:t>
      </w:r>
      <w:r>
        <w:rPr>
          <w:bCs/>
          <w:szCs w:val="24"/>
        </w:rPr>
        <w:t>В случае нарушения Покупателем сроков оплаты, согласованных Сторонами в настоящем Договоре или спецификациях к нему, Поставщик вправе требовать уплаты неустойки в размере 0,1 (ноль целых одна десятая) % от неоплаченной в срок суммы за каждый день просрочки до дня фактического погашения задолженности Покупателем.</w:t>
      </w:r>
    </w:p>
    <w:p>
      <w:pPr>
        <w:pStyle w:val="Normal"/>
        <w:ind w:firstLine="567"/>
        <w:rPr>
          <w:bCs/>
          <w:szCs w:val="24"/>
        </w:rPr>
      </w:pPr>
      <w:r>
        <w:rPr/>
        <w:t xml:space="preserve">7.3. </w:t>
      </w:r>
      <w:r>
        <w:rPr>
          <w:bCs/>
          <w:szCs w:val="24"/>
        </w:rPr>
        <w:t>В случае нарушения Поставщиком сроков поставки металлопродукции, согласованных Сторонами в настоящем Договоре или спецификациях к нему, Покупатель вправе требовать уплаты неустойки в размере 0,1 (ноль целых одна десятая) % от стоимости не поставленной/недопоставленной металлопродукции за каждый день просрочки до дня фактической поставки металлопродукции Поставщиком.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7.3.1. Не является нарушением обязательств по Договору непоставка металлопродукции Поставщиком в пределах толеранса, оговоренного в пункте 1.3 настоящего Договора.</w:t>
      </w:r>
    </w:p>
    <w:p>
      <w:pPr>
        <w:pStyle w:val="Normal"/>
        <w:ind w:firstLine="567"/>
        <w:rPr>
          <w:szCs w:val="24"/>
        </w:rPr>
      </w:pPr>
      <w:r>
        <w:rPr>
          <w:szCs w:val="24"/>
        </w:rPr>
        <w:t>7.4. Сторона, не исполнившая или ненадлежащим образом исполнившая свои обязательства по настоящему Договору, освобождается от ответственности в случаях, если докажет, что надлежащее исполнение обязательств сделалось невозможным вследствие действия непреодолимой силы, то есть чрезвычайных и непредотвратимых при данных условиях обстоятельств, таких как стихийные и экологические бедствия, акты органов государственной власти и т.п.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СРОК ДЕЙСТВИЯ ДОГОВОРА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 xml:space="preserve">8.1. Настоящий Договор вступает в силу с момента его подписания уполномоченными представителями сторон и действует </w:t>
      </w:r>
      <w:r>
        <w:rPr>
          <w:b/>
          <w:szCs w:val="24"/>
        </w:rPr>
        <w:t>по «31» декабря 20__ года</w:t>
      </w:r>
      <w:r>
        <w:rPr>
          <w:szCs w:val="24"/>
        </w:rPr>
        <w:t>, но в любом случае до полного исполнения Сторонами принятых на себя обязательств.</w:t>
      </w:r>
    </w:p>
    <w:p>
      <w:pPr>
        <w:pStyle w:val="Style24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ПРОЧИЕ УСЛОВИЯ</w:t>
      </w:r>
    </w:p>
    <w:p>
      <w:pPr>
        <w:pStyle w:val="Style24"/>
        <w:ind w:firstLine="567"/>
        <w:rPr>
          <w:szCs w:val="24"/>
          <w:lang w:eastAsia="ru-RU"/>
        </w:rPr>
      </w:pPr>
      <w:r>
        <w:rPr>
          <w:szCs w:val="24"/>
        </w:rPr>
        <w:t xml:space="preserve">9.1. </w:t>
      </w:r>
      <w:r>
        <w:rPr>
          <w:szCs w:val="24"/>
          <w:lang w:eastAsia="ru-RU"/>
        </w:rPr>
        <w:t>Все споры и разногласия, возникающие при исполнении настоящего Договора или в связи с ним, разрешаются Сторонами путем направления другой Стороне соответствующей претензии. Срок рассмотрения претензии и направления ответа на нее составляет не более 15 (пятнадцать) рабочих дней с даты получения претензии Стороной Договора.</w:t>
      </w:r>
    </w:p>
    <w:p>
      <w:pPr>
        <w:pStyle w:val="Style2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9.2. При неурегулировании разногласий в претензионном порядке, спор передается на рассмотрение Арбитражного суда Свердловской области в порядке, предусмотренном действующим законодательством РФ.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9.3. При изменении реквизитов Стороны обязуются в течение 3 (трех) рабочих дней извещать друг друга о таких изменениях в письменном виде. В противном случае сообщения, переданные по последнему известному адресу, считаются переданными надлежащим образом.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9.4. Стороны обязуются предоставлять почтовые и банковские реквизиты, статистические коды, прочие данные, необходимые для правильного оформления настоящего Договора и последующих документов, связанных с его исполнением.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9.5. В части, не урегулированной настоящим Договором, отношения Сторон регламентируются действующим законодательством РФ.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>9.6. Все изменения и дополнения к настоящему Договору совершаются в письменном виде и вступают в силу после подписания обеими Сторонами.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  <w:t xml:space="preserve">9.7. Настоящий Договор и документы, как являющиеся его неотъемлемой частью, так и оформленные сторонами в процессе исполнения обязательств по данному Договору, передаваемые посредством факсимильной связи либо в отсканированном виде по электронной почте с доменов </w:t>
      </w:r>
      <w:r>
        <w:rPr>
          <w:b/>
          <w:szCs w:val="24"/>
        </w:rPr>
        <w:t>@</w:t>
      </w:r>
      <w:r>
        <w:rPr>
          <w:b/>
          <w:szCs w:val="24"/>
          <w:lang w:val="en-US"/>
        </w:rPr>
        <w:t>kontinental</w:t>
      </w:r>
      <w:r>
        <w:rPr>
          <w:b/>
          <w:szCs w:val="24"/>
        </w:rPr>
        <w:t>.</w:t>
      </w:r>
      <w:r>
        <w:rPr>
          <w:b/>
          <w:szCs w:val="24"/>
          <w:lang w:val="en-US"/>
        </w:rPr>
        <w:t>ru</w:t>
      </w:r>
      <w:r>
        <w:rPr>
          <w:szCs w:val="24"/>
        </w:rPr>
        <w:t xml:space="preserve"> и </w:t>
      </w:r>
      <w:r>
        <w:rPr>
          <w:b/>
          <w:szCs w:val="24"/>
        </w:rPr>
        <w:t>@_______________</w:t>
      </w:r>
      <w:r>
        <w:rPr>
          <w:szCs w:val="24"/>
        </w:rPr>
        <w:t>, имеют полную юридическую силу и дублируются направлением оригиналов.</w:t>
      </w:r>
    </w:p>
    <w:p>
      <w:pPr>
        <w:pStyle w:val="Style24"/>
        <w:ind w:firstLine="567"/>
        <w:rPr>
          <w:szCs w:val="24"/>
        </w:rPr>
      </w:pPr>
      <w:r>
        <w:rPr/>
        <w:t xml:space="preserve">9.8. </w:t>
      </w:r>
      <w:r>
        <w:rPr>
          <w:szCs w:val="24"/>
        </w:rPr>
        <w:t xml:space="preserve">Настоящий Договор составлен в двух экземплярах, имеющих равную юридическую силу, по одному для каждой из Сторон.   </w:t>
      </w:r>
    </w:p>
    <w:p>
      <w:pPr>
        <w:pStyle w:val="Style24"/>
        <w:ind w:firstLine="567"/>
        <w:rPr>
          <w:rStyle w:val="Style14"/>
          <w:b w:val="false"/>
          <w:b w:val="false"/>
          <w:bCs/>
          <w:color w:val="FF0000"/>
        </w:rPr>
      </w:pPr>
      <w:r>
        <w:rPr>
          <w:rStyle w:val="Style14"/>
          <w:b w:val="false"/>
          <w:bCs/>
          <w:color w:val="FF0000"/>
        </w:rPr>
        <w:t xml:space="preserve">9.9. Стороны договорились, что при исполнении обязательств по </w:t>
      </w:r>
      <w:r>
        <w:rPr>
          <w:rStyle w:val="Style14"/>
          <w:b w:val="false"/>
          <w:bCs/>
          <w:color w:val="FF0000"/>
        </w:rPr>
        <w:t>Д</w:t>
      </w:r>
      <w:r>
        <w:rPr>
          <w:rStyle w:val="Style14"/>
          <w:b w:val="false"/>
          <w:bCs/>
          <w:color w:val="FF0000"/>
        </w:rPr>
        <w:t>оговору они могут обмениваться электронными документами с применением системы электронного документооборота (ЭДО) "Контур.Диадок" через оператора АО «ПФ «СКБ Контур» (адрес: 620144, Екатеринбург, ул. Народной Воли, 19а), либо иного уполномоченного оператора. Стороны вправе заключить настоящий Договор с использованием системы ЭДО.</w:t>
      </w:r>
    </w:p>
    <w:p>
      <w:pPr>
        <w:pStyle w:val="Style24"/>
        <w:ind w:firstLine="567"/>
        <w:rPr>
          <w:rStyle w:val="Style14"/>
          <w:b w:val="false"/>
          <w:b w:val="false"/>
          <w:bCs/>
          <w:color w:val="FF0000"/>
        </w:rPr>
      </w:pPr>
      <w:r>
        <w:rPr>
          <w:rStyle w:val="Style14"/>
          <w:b w:val="false"/>
          <w:bCs/>
          <w:color w:val="FF0000"/>
        </w:rPr>
        <w:t>9.9.1. В случае возникновения каких-либо технических проблем и невозможности передачи электронного документа сторона обязана незамедлительно уведомить об этом другую сторону по телефону, указанному в разделе "Адреса и реквизиты сторон". Затем в течение одного рабочего дня направить по электронной почте уведомление контрагенту, указав известную или предполагаемую причину проблемы и предполагаемый срок восстановления возможности направления электронного документа.</w:t>
      </w:r>
    </w:p>
    <w:p>
      <w:pPr>
        <w:pStyle w:val="Style24"/>
        <w:ind w:firstLine="567"/>
        <w:rPr>
          <w:rStyle w:val="Style14"/>
          <w:b w:val="false"/>
          <w:b w:val="false"/>
          <w:bCs/>
          <w:color w:val="FF0000"/>
        </w:rPr>
      </w:pPr>
      <w:r>
        <w:rPr>
          <w:rStyle w:val="Style14"/>
          <w:b w:val="false"/>
          <w:bCs/>
          <w:color w:val="FF0000"/>
        </w:rPr>
        <w:t>9.9.2. Все документы, которые сторона не может передать в электронном виде, она обязана предоставить в бумажном виде по адресам, указанным в разделе "Адреса и реквизиты сторон", направив их курьерской службой, либо ценным/заказным/ письмом не позднее следующего дня, в котором создан (подписан) документ.</w:t>
      </w:r>
    </w:p>
    <w:p>
      <w:pPr>
        <w:pStyle w:val="Style24"/>
        <w:ind w:firstLine="567"/>
        <w:rPr>
          <w:rStyle w:val="WW8Num2z0"/>
          <w:szCs w:val="24"/>
        </w:rPr>
      </w:pPr>
      <w:r>
        <w:rPr>
          <w:rStyle w:val="WW8Num2z0"/>
          <w:color w:val="FF0000"/>
        </w:rPr>
        <w:t>9.9.3. Стороны договорились, что по настоящему Договору электронному документообороту подлежат следующие документы:</w:t>
      </w:r>
    </w:p>
    <w:p>
      <w:pPr>
        <w:pStyle w:val="Style26"/>
        <w:numPr>
          <w:ilvl w:val="0"/>
          <w:numId w:val="2"/>
        </w:numPr>
        <w:ind w:left="1276" w:hanging="360"/>
        <w:rPr>
          <w:rStyle w:val="WW8Num2z0"/>
          <w:bCs/>
          <w:color w:val="FF0000"/>
        </w:rPr>
      </w:pPr>
      <w:r>
        <w:rPr>
          <w:rStyle w:val="WW8Num2z0"/>
          <w:color w:val="FF0000"/>
        </w:rPr>
        <w:t>дополнительные соглашения к Договору;</w:t>
      </w:r>
    </w:p>
    <w:p>
      <w:pPr>
        <w:pStyle w:val="Style26"/>
        <w:numPr>
          <w:ilvl w:val="0"/>
          <w:numId w:val="2"/>
        </w:numPr>
        <w:ind w:left="1276" w:hanging="360"/>
        <w:rPr>
          <w:rStyle w:val="WW8Num2z0"/>
          <w:bCs/>
          <w:color w:val="FF0000"/>
        </w:rPr>
      </w:pPr>
      <w:r>
        <w:rPr>
          <w:rStyle w:val="WW8Num2z0"/>
          <w:color w:val="FF0000"/>
        </w:rPr>
        <w:t xml:space="preserve">спецификации к Договору; </w:t>
      </w:r>
    </w:p>
    <w:p>
      <w:pPr>
        <w:pStyle w:val="Style26"/>
        <w:numPr>
          <w:ilvl w:val="0"/>
          <w:numId w:val="2"/>
        </w:numPr>
        <w:ind w:left="1276" w:hanging="360"/>
        <w:rPr>
          <w:rStyle w:val="WW8Num2z0"/>
          <w:bCs/>
          <w:color w:val="FF0000"/>
        </w:rPr>
      </w:pPr>
      <w:r>
        <w:rPr>
          <w:rStyle w:val="WW8Num2z0"/>
          <w:color w:val="FF0000"/>
        </w:rPr>
        <w:t>уведомления сторон, связанные с исполнением и прекращением договора;</w:t>
      </w:r>
    </w:p>
    <w:p>
      <w:pPr>
        <w:pStyle w:val="Style26"/>
        <w:numPr>
          <w:ilvl w:val="0"/>
          <w:numId w:val="2"/>
        </w:numPr>
        <w:ind w:left="1276" w:hanging="360"/>
        <w:rPr>
          <w:rStyle w:val="WW8Num2z0"/>
          <w:bCs/>
          <w:color w:val="FF0000"/>
        </w:rPr>
      </w:pPr>
      <w:r>
        <w:rPr>
          <w:rStyle w:val="WW8Num2z0"/>
          <w:color w:val="FF0000"/>
        </w:rPr>
        <w:t>претензии сторон и ответы на них;</w:t>
      </w:r>
    </w:p>
    <w:p>
      <w:pPr>
        <w:pStyle w:val="Style26"/>
        <w:numPr>
          <w:ilvl w:val="0"/>
          <w:numId w:val="2"/>
        </w:numPr>
        <w:ind w:left="1276" w:hanging="360"/>
        <w:rPr>
          <w:rStyle w:val="WW8Num2z0"/>
          <w:bCs/>
          <w:color w:val="FF0000"/>
        </w:rPr>
      </w:pPr>
      <w:r>
        <w:rPr>
          <w:rStyle w:val="WW8Num2z0"/>
          <w:color w:val="FF0000"/>
        </w:rPr>
        <w:t>первичные учетные документы, включая счет-фактуру, универсальный передаточный документ и др.</w:t>
      </w:r>
    </w:p>
    <w:p>
      <w:pPr>
        <w:pStyle w:val="Style26"/>
        <w:ind w:firstLine="720"/>
        <w:rPr>
          <w:rStyle w:val="Style14"/>
          <w:b w:val="false"/>
          <w:b w:val="false"/>
          <w:bCs/>
          <w:color w:val="FF0000"/>
        </w:rPr>
      </w:pPr>
      <w:r>
        <w:rPr>
          <w:rStyle w:val="Style14"/>
          <w:b w:val="false"/>
          <w:bCs/>
          <w:color w:val="FF0000"/>
        </w:rPr>
        <w:t>Все остальные документы, не указанные выше, направляются в бумажном виде.</w:t>
      </w:r>
    </w:p>
    <w:p>
      <w:pPr>
        <w:pStyle w:val="Style26"/>
        <w:ind w:firstLine="720"/>
        <w:rPr>
          <w:bCs/>
          <w:color w:val="FF0000"/>
        </w:rPr>
      </w:pPr>
      <w:r>
        <w:rPr>
          <w:rStyle w:val="Style14"/>
          <w:b w:val="false"/>
          <w:bCs/>
          <w:color w:val="FF0000"/>
        </w:rPr>
        <w:t>9.9.4. Для исполнения пунктов 9.9. - 9.9.3. настоящего Договора Стороны признают документы, подписанные в рамках настоящего договора усиленной квалифицированной электронной подписью, равнозначными бумажным документам с собственноручной подписью.</w:t>
      </w:r>
    </w:p>
    <w:p>
      <w:pPr>
        <w:pStyle w:val="Style24"/>
        <w:ind w:firstLine="567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ОСОБЫЕ УСЛОВИЯ</w:t>
      </w:r>
    </w:p>
    <w:p>
      <w:pPr>
        <w:pStyle w:val="Style19"/>
        <w:ind w:firstLine="567"/>
        <w:rPr/>
      </w:pPr>
      <w:r>
        <w:rPr/>
        <w:t>10.1. При установлении цены за металлопродукцию в иностранной валюте, оплата осуществляется в российских рублях по курсу ЦБ РФ, зафиксированному на дату совершения платежа.</w:t>
      </w:r>
    </w:p>
    <w:p>
      <w:pPr>
        <w:pStyle w:val="Style19"/>
        <w:ind w:firstLine="567"/>
        <w:rPr>
          <w:color w:val="00A933"/>
        </w:rPr>
      </w:pPr>
      <w:r>
        <w:rPr>
          <w:color w:val="00A933"/>
        </w:rPr>
        <w:t xml:space="preserve">10.2. В случае принятия Правительством Российской Федерации решений о повышении ставок ввозной таможенной пошлины в отношении проката из коррозионностойкой стали, Поставщик вправе в одностороннем порядке изменить цену на поставляемую металлопродукцию, которая была ввезена на территорию РФ после увеличения ввозной таможенной пошлины, а заказана Поставщиком и/или изготовлена иностранным заводом-изготовителем до ее повышения. При этом изменение цены не может быть больше размера увеличения ввозной таможенной пошлины. </w:t>
      </w:r>
      <w:r>
        <w:rPr>
          <w:i/>
          <w:iCs/>
          <w:color w:val="00B0F0"/>
          <w:szCs w:val="24"/>
        </w:rPr>
        <w:t>(включать выделенное зеленым цветом в текст договора в случае поставки заказной импортной металлопродукции).</w:t>
      </w:r>
    </w:p>
    <w:p>
      <w:pPr>
        <w:pStyle w:val="Normal"/>
        <w:ind w:firstLine="567"/>
        <w:rPr>
          <w:color w:val="7030A0"/>
          <w:szCs w:val="24"/>
        </w:rPr>
      </w:pPr>
      <w:r>
        <w:rPr>
          <w:color w:val="00B050"/>
          <w:szCs w:val="24"/>
        </w:rPr>
        <w:t>10.3. В случае, если предметом поставки по настоящему Договору является металлопродукция, импортируемая из-за пределов Российской Федерации, и в период после подписания Сторонами спецификации произойдет рост курса доллара США/Евро/ к Российскому рублю более чем на 5 (пять) %, то стоимость поставляемой металлопродукции может быть увеличена Поставщиком пропорционально изменению курса. О таком изменении цены Поставщик письменно извещает Покупателя. В случае согласия Покупателя на увеличение цены Стороны оформляют соответствующее соглашение об увеличении цены. В случае получения от Покупателя письменного уведомления о несогласии с изменением цены на поставляемую металлопродукцию, настоящий Договор либо соответствующая спецификация считается расторгнутым(ой). В этом случае Поставщик в срок не позднее 5 (пяти) рабочих дней с момента получения такого уведомления возвращает Покупателю полученный в счет предстоящей поставки аванс, без применения к Поставщику каких-либо санкций, в том числе начисление процентов за пользование денежными средствами в соответствии со статьями 317.1 и 395 Гражданского кодекса Российской Федерации.</w:t>
      </w:r>
      <w:r>
        <w:rPr>
          <w:color w:val="7030A0"/>
          <w:szCs w:val="24"/>
        </w:rPr>
        <w:t xml:space="preserve"> </w:t>
      </w:r>
      <w:r>
        <w:rPr>
          <w:i/>
          <w:iCs/>
          <w:color w:val="00B0F0"/>
          <w:szCs w:val="24"/>
        </w:rPr>
        <w:t>(включать выделенное зеленым цветом в текст договора в случае поставки заказной импортной металлопродукции).</w:t>
      </w:r>
    </w:p>
    <w:p>
      <w:pPr>
        <w:pStyle w:val="Style24"/>
        <w:ind w:firstLine="567"/>
        <w:rPr>
          <w:i/>
          <w:i/>
          <w:iCs/>
          <w:color w:val="00B0F0"/>
          <w:szCs w:val="24"/>
        </w:rPr>
      </w:pPr>
      <w:r>
        <w:rPr>
          <w:color w:val="00A933"/>
          <w:szCs w:val="24"/>
          <w:lang w:eastAsia="ru-RU"/>
        </w:rPr>
        <w:t xml:space="preserve">10.4. </w:t>
      </w:r>
      <w:r>
        <w:rPr>
          <w:color w:val="00A933"/>
          <w:szCs w:val="24"/>
        </w:rPr>
        <w:t>В случае, если Поставщик с целью поставки Покупателю согласованной в Спецификации металлопродукции будет размещать заказ на её изготовление за пределами территории Российской Федерации, и в период размещения такого заказа государственными органами страны-изготовителя будет изменено законодательство в части налогов, экспортных пошлин, иных обязательных платежей, Поставщик в силу п. 2 ст. 424 ГК РФ вправе изменить ранее согласованную цену на величину, соответствующую увеличению для Поставщика  стоимости поставляемой металлопродукции. О таком изменении цены Поставщик письменно извещает Покупателя, с указанием соответствующих оснований. В случае согласия Покупателя на увеличение цены Стороны оформляют соответствующее соглашение об увеличении цены. В случае получения от Покупателя письменного уведомления о несогласии с изменением цены на поставляемую металлопродукцию, настоящий Договор считается расторгнутым в связи с существенным изменением обстоятельств (ст. 451 ГК РФ). В этом случае Поставщик в срок не позднее 5 (пяти) рабочих дней с момента получения такого уведомления возвращает Покупателю полученный в счет предстоящей поставки аванс, без применения к Поставщику каких-либо санкций, в том числе начисление процентов за пользование денежными средствами.</w:t>
      </w:r>
      <w:r>
        <w:rPr>
          <w:i/>
          <w:iCs/>
          <w:color w:val="00B050"/>
          <w:szCs w:val="24"/>
        </w:rPr>
        <w:t xml:space="preserve"> </w:t>
      </w:r>
      <w:r>
        <w:rPr>
          <w:i/>
          <w:iCs/>
          <w:color w:val="00B0F0"/>
          <w:szCs w:val="24"/>
        </w:rPr>
        <w:t>(включать выделенное зеленым цветом в текст договора в случае поставки заказной импортной металлопродукции).</w:t>
      </w:r>
    </w:p>
    <w:p>
      <w:pPr>
        <w:pStyle w:val="Style24"/>
        <w:ind w:firstLine="567"/>
        <w:rPr>
          <w:i/>
          <w:i/>
          <w:iCs/>
          <w:color w:val="00B0F0"/>
          <w:szCs w:val="24"/>
        </w:rPr>
      </w:pPr>
      <w:r>
        <w:rPr>
          <w:i/>
          <w:iCs/>
          <w:color w:val="00B0F0"/>
          <w:szCs w:val="24"/>
        </w:rPr>
      </w:r>
    </w:p>
    <w:p>
      <w:pPr>
        <w:pStyle w:val="Style24"/>
        <w:ind w:firstLine="567"/>
        <w:rPr>
          <w:i/>
          <w:i/>
          <w:iCs/>
          <w:color w:val="00B0F0"/>
          <w:szCs w:val="24"/>
        </w:rPr>
      </w:pPr>
      <w:r>
        <w:rPr>
          <w:i/>
          <w:iCs/>
          <w:color w:val="00B0F0"/>
          <w:szCs w:val="24"/>
        </w:rPr>
      </w:r>
    </w:p>
    <w:p>
      <w:pPr>
        <w:pStyle w:val="Style24"/>
        <w:ind w:firstLine="567"/>
        <w:rPr>
          <w:i/>
          <w:i/>
          <w:iCs/>
          <w:color w:val="00B0F0"/>
          <w:szCs w:val="24"/>
        </w:rPr>
      </w:pPr>
      <w:r>
        <w:rPr>
          <w:i/>
          <w:iCs/>
          <w:color w:val="00B0F0"/>
          <w:szCs w:val="24"/>
        </w:rPr>
      </w:r>
    </w:p>
    <w:p>
      <w:pPr>
        <w:pStyle w:val="Style24"/>
        <w:ind w:firstLine="567"/>
        <w:rPr/>
      </w:pPr>
      <w:r>
        <w:rPr/>
      </w:r>
    </w:p>
    <w:p>
      <w:pPr>
        <w:pStyle w:val="Normal"/>
        <w:numPr>
          <w:ilvl w:val="0"/>
          <w:numId w:val="1"/>
        </w:numPr>
        <w:ind w:left="0" w:hanging="0"/>
        <w:jc w:val="center"/>
        <w:rPr>
          <w:b/>
          <w:b/>
          <w:szCs w:val="24"/>
        </w:rPr>
      </w:pPr>
      <w:r>
        <w:rPr>
          <w:b/>
          <w:szCs w:val="24"/>
        </w:rPr>
        <w:t>ЮРИДИЧЕСКИЕ АДРЕСА И РЕКВИЗИТЫ СТОРОН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</w:r>
    </w:p>
    <w:tbl>
      <w:tblPr>
        <w:tblW w:w="100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6"/>
        <w:gridCol w:w="5007"/>
      </w:tblGrid>
      <w:tr>
        <w:trPr/>
        <w:tc>
          <w:tcPr>
            <w:tcW w:w="5016" w:type="dxa"/>
            <w:tcBorders/>
          </w:tcPr>
          <w:p>
            <w:pPr>
              <w:pStyle w:val="Style19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ПОСТАВЩИК</w:t>
            </w:r>
          </w:p>
        </w:tc>
        <w:tc>
          <w:tcPr>
            <w:tcW w:w="5007" w:type="dxa"/>
            <w:tcBorders/>
          </w:tcPr>
          <w:p>
            <w:pPr>
              <w:pStyle w:val="Style19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ПОКУПАТЕЛЬ</w:t>
            </w:r>
          </w:p>
        </w:tc>
      </w:tr>
      <w:tr>
        <w:trPr/>
        <w:tc>
          <w:tcPr>
            <w:tcW w:w="5016" w:type="dxa"/>
            <w:tcBorders/>
          </w:tcPr>
          <w:p>
            <w:pPr>
              <w:pStyle w:val="Style19"/>
              <w:widowControl w:val="false"/>
              <w:jc w:val="center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ООО «Континенталь»</w:t>
            </w:r>
          </w:p>
        </w:tc>
        <w:tc>
          <w:tcPr>
            <w:tcW w:w="5007" w:type="dxa"/>
            <w:tcBorders/>
          </w:tcPr>
          <w:p>
            <w:pPr>
              <w:pStyle w:val="Style19"/>
              <w:widowControl w:val="false"/>
              <w:snapToGrid w:val="false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color w:val="ED7D31" w:themeColor="accent2"/>
                <w:szCs w:val="24"/>
              </w:rPr>
              <w:t>(наименование контрагента)</w:t>
            </w:r>
          </w:p>
        </w:tc>
      </w:tr>
      <w:tr>
        <w:trPr/>
        <w:tc>
          <w:tcPr>
            <w:tcW w:w="5016" w:type="dxa"/>
            <w:tcBorders/>
          </w:tcPr>
          <w:p>
            <w:pPr>
              <w:pStyle w:val="Style19"/>
              <w:widowControl w:val="false"/>
              <w:spacing w:lineRule="atLeast" w:line="240"/>
              <w:rPr>
                <w:b/>
                <w:b/>
                <w:szCs w:val="24"/>
              </w:rPr>
            </w:pPr>
            <w:r>
              <w:rPr>
                <w:b/>
                <w:color w:val="7030A0"/>
                <w:szCs w:val="24"/>
              </w:rPr>
              <w:t xml:space="preserve">Юридический </w:t>
            </w:r>
            <w:r>
              <w:rPr>
                <w:b/>
                <w:szCs w:val="24"/>
              </w:rPr>
              <w:t>адрес: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624251  Свердловская обл.,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г. Заречный, ул. Промзона БЗСК, строение 2,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ИНН 6609002301 КПП 668301001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ОГРН 1026601980712</w:t>
            </w:r>
          </w:p>
          <w:p>
            <w:pPr>
              <w:pStyle w:val="Style19"/>
              <w:widowControl w:val="false"/>
              <w:spacing w:lineRule="atLeast" w:line="240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Местонахождение ___________ филиала </w:t>
            </w:r>
          </w:p>
          <w:p>
            <w:pPr>
              <w:pStyle w:val="Style19"/>
              <w:widowControl w:val="false"/>
              <w:spacing w:lineRule="atLeast" w:line="240"/>
              <w:rPr>
                <w:i/>
                <w:i/>
                <w:iCs/>
                <w:color w:val="ED7D31" w:themeColor="accent2"/>
                <w:szCs w:val="24"/>
              </w:rPr>
            </w:pPr>
            <w:r>
              <w:rPr>
                <w:i/>
                <w:iCs/>
                <w:color w:val="ED7D31" w:themeColor="accent2"/>
                <w:szCs w:val="24"/>
              </w:rPr>
              <w:t>(при заключении договора филиалом)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b/>
              </w:rPr>
              <w:t>КПП филиала</w:t>
            </w:r>
            <w:r>
              <w:rPr/>
              <w:t xml:space="preserve"> 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р/с _____________________________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в _______________________________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К/с _____________________________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БИК ____________________________</w:t>
            </w:r>
          </w:p>
          <w:p>
            <w:pPr>
              <w:pStyle w:val="Style19"/>
              <w:widowControl w:val="false"/>
              <w:spacing w:lineRule="atLeast" w:line="240"/>
              <w:rPr>
                <w:szCs w:val="24"/>
              </w:rPr>
            </w:pPr>
            <w:r>
              <w:rPr>
                <w:szCs w:val="24"/>
              </w:rPr>
              <w:t>Тел.: + 7 (343) 243-53-53</w:t>
            </w:r>
          </w:p>
          <w:p>
            <w:pPr>
              <w:pStyle w:val="Style19"/>
              <w:widowControl w:val="false"/>
              <w:spacing w:lineRule="atLeast" w:line="240"/>
              <w:rPr/>
            </w:pP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 xml:space="preserve">: </w:t>
            </w:r>
            <w:hyperlink r:id="rId2">
              <w:r>
                <w:rPr>
                  <w:szCs w:val="24"/>
                  <w:lang w:val="en-US"/>
                </w:rPr>
                <w:t>info</w:t>
              </w:r>
              <w:r>
                <w:rPr>
                  <w:szCs w:val="24"/>
                </w:rPr>
                <w:t>@</w:t>
              </w:r>
              <w:r>
                <w:rPr>
                  <w:szCs w:val="24"/>
                  <w:lang w:val="en-US"/>
                </w:rPr>
                <w:t>kontinental</w:t>
              </w:r>
              <w:r>
                <w:rPr>
                  <w:szCs w:val="24"/>
                </w:rPr>
                <w:t>.</w:t>
              </w:r>
              <w:r>
                <w:rPr>
                  <w:szCs w:val="24"/>
                  <w:lang w:val="en-US"/>
                </w:rPr>
                <w:t>ru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5007" w:type="dxa"/>
            <w:tcBorders/>
          </w:tcPr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_______________________________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ИНН ____________ КПП 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ОГРН 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р/с _____________________________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в _______________________________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К/с _____________________________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БИК ____________________________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</w:rPr>
              <w:t>Тел.: ___________________________</w:t>
            </w:r>
          </w:p>
          <w:p>
            <w:pPr>
              <w:pStyle w:val="Style19"/>
              <w:widowControl w:val="false"/>
              <w:snapToGrid w:val="false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E-mail: </w:t>
            </w:r>
            <w:r>
              <w:rPr>
                <w:szCs w:val="24"/>
              </w:rPr>
              <w:t>_________________________</w:t>
            </w:r>
          </w:p>
        </w:tc>
      </w:tr>
    </w:tbl>
    <w:p>
      <w:pPr>
        <w:pStyle w:val="Style19"/>
        <w:rPr>
          <w:szCs w:val="24"/>
          <w:lang w:val="en-US"/>
        </w:rPr>
      </w:pPr>
      <w:r>
        <w:rPr>
          <w:szCs w:val="24"/>
          <w:lang w:val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>ООО «Континенталь»</w:t>
            </w:r>
          </w:p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 xml:space="preserve">Директор _____________ </w:t>
            </w:r>
            <w:r>
              <w:rPr>
                <w:i/>
                <w:iCs/>
                <w:color w:val="ED7D31" w:themeColor="accent2"/>
                <w:szCs w:val="24"/>
              </w:rPr>
              <w:t>(должность)</w:t>
            </w:r>
          </w:p>
          <w:p>
            <w:pPr>
              <w:pStyle w:val="Style26"/>
              <w:widowControl w:val="false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</w:r>
          </w:p>
          <w:p>
            <w:pPr>
              <w:pStyle w:val="Style26"/>
              <w:widowControl w:val="false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</w:r>
          </w:p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 xml:space="preserve">_______________ / ______________ </w:t>
            </w:r>
            <w:r>
              <w:rPr>
                <w:i/>
                <w:iCs/>
                <w:color w:val="ED7D31" w:themeColor="accent2"/>
                <w:szCs w:val="24"/>
              </w:rPr>
              <w:t>(Ф.И.О.)</w:t>
            </w:r>
          </w:p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>м.п.</w:t>
            </w:r>
          </w:p>
        </w:tc>
        <w:tc>
          <w:tcPr>
            <w:tcW w:w="4819" w:type="dxa"/>
            <w:tcBorders/>
          </w:tcPr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>_____________</w:t>
            </w:r>
            <w:r>
              <w:rPr>
                <w:i/>
                <w:iCs/>
                <w:color w:val="ED7D31" w:themeColor="accent2"/>
                <w:szCs w:val="24"/>
              </w:rPr>
              <w:t>(наименование контрагента)</w:t>
            </w:r>
          </w:p>
          <w:p>
            <w:pPr>
              <w:pStyle w:val="Style26"/>
              <w:widowControl w:val="false"/>
              <w:rPr>
                <w:i/>
                <w:i/>
                <w:iCs/>
                <w:color w:val="ED7D31" w:themeColor="accent2"/>
                <w:szCs w:val="24"/>
              </w:rPr>
            </w:pPr>
            <w:r>
              <w:rPr>
                <w:color w:val="7030A0"/>
                <w:szCs w:val="24"/>
              </w:rPr>
              <w:t xml:space="preserve">___________________ </w:t>
            </w:r>
            <w:r>
              <w:rPr>
                <w:i/>
                <w:iCs/>
                <w:color w:val="ED7D31" w:themeColor="accent2"/>
                <w:szCs w:val="24"/>
              </w:rPr>
              <w:t>(должность)</w:t>
            </w:r>
          </w:p>
          <w:p>
            <w:pPr>
              <w:pStyle w:val="Style26"/>
              <w:widowControl w:val="false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</w:r>
          </w:p>
          <w:p>
            <w:pPr>
              <w:pStyle w:val="Style26"/>
              <w:widowControl w:val="false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</w:r>
          </w:p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 xml:space="preserve">_______________ / ______________ </w:t>
            </w:r>
            <w:r>
              <w:rPr>
                <w:i/>
                <w:iCs/>
                <w:color w:val="ED7D31" w:themeColor="accent2"/>
                <w:szCs w:val="24"/>
              </w:rPr>
              <w:t>(Ф.И.О.)</w:t>
            </w:r>
          </w:p>
          <w:p>
            <w:pPr>
              <w:pStyle w:val="Style26"/>
              <w:widowControl w:val="false"/>
              <w:rPr>
                <w:szCs w:val="24"/>
              </w:rPr>
            </w:pPr>
            <w:r>
              <w:rPr>
                <w:color w:val="7030A0"/>
                <w:szCs w:val="24"/>
              </w:rPr>
              <w:t>м.п.</w:t>
            </w:r>
          </w:p>
        </w:tc>
      </w:tr>
    </w:tbl>
    <w:p>
      <w:pPr>
        <w:pStyle w:val="Style19"/>
        <w:rPr>
          <w:szCs w:val="24"/>
        </w:rPr>
      </w:pPr>
      <w:r>
        <w:rPr/>
      </w:r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12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ee5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Подзаголовок Знак"/>
    <w:qFormat/>
    <w:rPr>
      <w:b/>
      <w:sz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>
    <w:name w:val="Hyperlink"/>
    <w:basedOn w:val="DefaultParagraphFont"/>
    <w:uiPriority w:val="99"/>
    <w:unhideWhenUsed/>
    <w:rsid w:val="0086392b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/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Title"/>
    <w:basedOn w:val="Normal"/>
    <w:next w:val="Style19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19"/>
    <w:qFormat/>
    <w:pPr>
      <w:jc w:val="center"/>
    </w:pPr>
    <w:rPr>
      <w:b/>
    </w:rPr>
  </w:style>
  <w:style w:type="paragraph" w:styleId="12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Style24">
    <w:name w:val="Body Text Indent"/>
    <w:basedOn w:val="Normal"/>
    <w:pPr>
      <w:ind w:firstLine="360"/>
    </w:pPr>
    <w:rPr/>
  </w:style>
  <w:style w:type="paragraph" w:styleId="Style25">
    <w:name w:val="Subtitle"/>
    <w:basedOn w:val="Normal"/>
    <w:next w:val="Style19"/>
    <w:uiPriority w:val="11"/>
    <w:qFormat/>
    <w:pPr>
      <w:jc w:val="center"/>
    </w:pPr>
    <w:rPr>
      <w:b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kontinenta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1F2E-9D60-47BF-8E6F-E153910E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LibreOffice/7.4.2.3$Windows_X86_64 LibreOffice_project/382eef1f22670f7f4118c8c2dd222ec7ad009daf</Application>
  <AppVersion>15.0000</AppVersion>
  <Pages>7</Pages>
  <Words>2646</Words>
  <Characters>19195</Characters>
  <CharactersWithSpaces>21724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2025-10-10T09:37:00Z</dcterms:created>
  <dc:creator>Klimchuk</dc:creator>
  <dc:description/>
  <dc:language>ru-RU</dc:language>
  <cp:lastModifiedBy/>
  <cp:lastPrinted>2021-05-12T10:58:00Z</cp:lastPrinted>
  <dcterms:modified xsi:type="dcterms:W3CDTF">2025-10-13T08:12:32Z</dcterms:modified>
  <cp:revision>5</cp:revision>
  <dc:subject/>
  <dc:title>ДОГОВОР   ПОСТАВКИ  № 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